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2" w:rsidRDefault="00187BF2" w:rsidP="00187BF2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14BCC913" wp14:editId="297AA84F">
            <wp:extent cx="6111875" cy="1868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F2" w:rsidRPr="00B41815" w:rsidRDefault="00701814" w:rsidP="00187BF2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187BF2" w:rsidRDefault="00221311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УТВЕРЖДАЮ</w:t>
      </w:r>
    </w:p>
    <w:p w:rsidR="00221311" w:rsidRPr="00221311" w:rsidRDefault="00221311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</w:p>
    <w:p w:rsidR="00187BF2" w:rsidRPr="00221311" w:rsidRDefault="00187BF2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  <w:r w:rsidRPr="00221311">
        <w:rPr>
          <w:kern w:val="36"/>
          <w:sz w:val="20"/>
          <w:szCs w:val="20"/>
        </w:rPr>
        <w:t>___________________/</w:t>
      </w:r>
      <w:r w:rsidR="00390324" w:rsidRPr="00221311">
        <w:rPr>
          <w:kern w:val="36"/>
          <w:sz w:val="20"/>
          <w:szCs w:val="20"/>
        </w:rPr>
        <w:t>А.В. Булгаков</w:t>
      </w:r>
      <w:r w:rsidRPr="00221311">
        <w:rPr>
          <w:kern w:val="36"/>
          <w:sz w:val="20"/>
          <w:szCs w:val="20"/>
        </w:rPr>
        <w:t>/</w:t>
      </w:r>
    </w:p>
    <w:p w:rsidR="00187BF2" w:rsidRDefault="00390324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  <w:r w:rsidRPr="00221311">
        <w:rPr>
          <w:kern w:val="36"/>
          <w:sz w:val="20"/>
          <w:szCs w:val="20"/>
        </w:rPr>
        <w:t>Председатель</w:t>
      </w:r>
      <w:r w:rsidR="00187BF2" w:rsidRPr="00221311">
        <w:rPr>
          <w:kern w:val="36"/>
          <w:sz w:val="20"/>
          <w:szCs w:val="20"/>
        </w:rPr>
        <w:t xml:space="preserve"> Закупочной комиссии</w:t>
      </w:r>
    </w:p>
    <w:p w:rsidR="00221311" w:rsidRPr="00221311" w:rsidRDefault="00221311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</w:p>
    <w:p w:rsidR="00187BF2" w:rsidRDefault="00187BF2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  <w:r w:rsidRPr="00221311">
        <w:rPr>
          <w:kern w:val="36"/>
          <w:sz w:val="20"/>
          <w:szCs w:val="20"/>
        </w:rPr>
        <w:t>«</w:t>
      </w:r>
      <w:r w:rsidR="008052B7">
        <w:rPr>
          <w:kern w:val="36"/>
          <w:sz w:val="20"/>
          <w:szCs w:val="20"/>
        </w:rPr>
        <w:t>1</w:t>
      </w:r>
      <w:r w:rsidR="00701814">
        <w:rPr>
          <w:kern w:val="36"/>
          <w:sz w:val="20"/>
          <w:szCs w:val="20"/>
        </w:rPr>
        <w:t>4</w:t>
      </w:r>
      <w:bookmarkStart w:id="8" w:name="_GoBack"/>
      <w:bookmarkEnd w:id="8"/>
      <w:r w:rsidRPr="00221311">
        <w:rPr>
          <w:kern w:val="36"/>
          <w:sz w:val="20"/>
          <w:szCs w:val="20"/>
        </w:rPr>
        <w:t xml:space="preserve">» </w:t>
      </w:r>
      <w:r w:rsidR="008052B7">
        <w:rPr>
          <w:kern w:val="36"/>
          <w:sz w:val="20"/>
          <w:szCs w:val="20"/>
        </w:rPr>
        <w:t>июля</w:t>
      </w:r>
      <w:r w:rsidRPr="00221311">
        <w:rPr>
          <w:kern w:val="36"/>
          <w:sz w:val="20"/>
          <w:szCs w:val="20"/>
        </w:rPr>
        <w:t xml:space="preserve"> 20</w:t>
      </w:r>
      <w:r w:rsidR="008052B7">
        <w:rPr>
          <w:kern w:val="36"/>
          <w:sz w:val="20"/>
          <w:szCs w:val="20"/>
        </w:rPr>
        <w:t xml:space="preserve">14 </w:t>
      </w:r>
      <w:r w:rsidRPr="00221311">
        <w:rPr>
          <w:kern w:val="36"/>
          <w:sz w:val="20"/>
          <w:szCs w:val="20"/>
        </w:rPr>
        <w:t>года</w:t>
      </w:r>
    </w:p>
    <w:p w:rsidR="00221311" w:rsidRPr="00221311" w:rsidRDefault="00221311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</w:p>
    <w:p w:rsidR="00221311" w:rsidRDefault="00390324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 xml:space="preserve">Ответственный секретарь </w:t>
      </w:r>
      <w:proofErr w:type="gramStart"/>
      <w:r>
        <w:rPr>
          <w:kern w:val="36"/>
          <w:sz w:val="20"/>
          <w:szCs w:val="20"/>
        </w:rPr>
        <w:t>Закупочной</w:t>
      </w:r>
      <w:proofErr w:type="gramEnd"/>
      <w:r>
        <w:rPr>
          <w:kern w:val="36"/>
          <w:sz w:val="20"/>
          <w:szCs w:val="20"/>
        </w:rPr>
        <w:t xml:space="preserve"> </w:t>
      </w:r>
    </w:p>
    <w:p w:rsidR="00187BF2" w:rsidRPr="005E2246" w:rsidRDefault="00390324" w:rsidP="00221311">
      <w:pPr>
        <w:spacing w:before="60" w:after="60"/>
        <w:ind w:left="6095"/>
        <w:jc w:val="right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комиссии</w:t>
      </w:r>
    </w:p>
    <w:p w:rsidR="00187BF2" w:rsidRPr="005E2246" w:rsidRDefault="00187BF2" w:rsidP="00221311">
      <w:pPr>
        <w:spacing w:before="60" w:after="60"/>
        <w:ind w:left="6521" w:hanging="425"/>
        <w:jc w:val="right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B32644" w:rsidRDefault="00187BF2" w:rsidP="00221311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187BF2" w:rsidRPr="004A046C" w:rsidRDefault="00187BF2" w:rsidP="00221311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187BF2" w:rsidRDefault="00221311" w:rsidP="00221311">
      <w:pPr>
        <w:jc w:val="center"/>
        <w:rPr>
          <w:b/>
        </w:rPr>
      </w:pPr>
      <w:r>
        <w:rPr>
          <w:b/>
        </w:rPr>
        <w:t>на право заключения договор</w:t>
      </w:r>
      <w:r w:rsidR="00187BF2" w:rsidRPr="00B32644">
        <w:rPr>
          <w:b/>
        </w:rPr>
        <w:t>:</w:t>
      </w:r>
    </w:p>
    <w:p w:rsidR="00187BF2" w:rsidRPr="00B32644" w:rsidRDefault="00187BF2" w:rsidP="00221311">
      <w:pPr>
        <w:jc w:val="center"/>
        <w:rPr>
          <w:b/>
        </w:rPr>
      </w:pPr>
    </w:p>
    <w:p w:rsidR="00187BF2" w:rsidRPr="00390324" w:rsidRDefault="00187BF2" w:rsidP="00221311">
      <w:pPr>
        <w:jc w:val="center"/>
      </w:pPr>
      <w:r w:rsidRPr="00221311">
        <w:t xml:space="preserve">Лот 1: </w:t>
      </w:r>
      <w:r w:rsidR="00390324" w:rsidRPr="00221311">
        <w:t>поставка</w:t>
      </w:r>
      <w:r w:rsidR="00390324" w:rsidRPr="00390324">
        <w:t xml:space="preserve"> </w:t>
      </w:r>
      <w:r w:rsidR="00221311">
        <w:t>спецодежды</w:t>
      </w:r>
      <w:r w:rsidR="00390324">
        <w:t>.</w:t>
      </w:r>
    </w:p>
    <w:p w:rsidR="00187BF2" w:rsidRPr="00B32644" w:rsidRDefault="00187BF2" w:rsidP="00221311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187BF2" w:rsidRPr="00B32644" w:rsidRDefault="00187BF2" w:rsidP="00187BF2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187BF2" w:rsidRPr="00B32644" w:rsidRDefault="00187BF2" w:rsidP="00187BF2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Pr="00B32644" w:rsidRDefault="00187BF2" w:rsidP="00187BF2">
      <w:pPr>
        <w:jc w:val="center"/>
      </w:pPr>
    </w:p>
    <w:p w:rsidR="00187BF2" w:rsidRDefault="00187BF2" w:rsidP="00187BF2">
      <w:pPr>
        <w:jc w:val="center"/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187BF2" w:rsidRPr="00B32644" w:rsidRDefault="00187BF2" w:rsidP="00187BF2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187BF2" w:rsidRDefault="00187BF2" w:rsidP="00187BF2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187BF2" w:rsidSect="00187BF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87BF2" w:rsidRPr="00B32644" w:rsidRDefault="00187BF2" w:rsidP="00187BF2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 xml:space="preserve">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87BF2" w:rsidRPr="00B32644" w:rsidRDefault="00187BF2" w:rsidP="00187BF2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9" w:name="_Toc297628859"/>
      <w:r w:rsidRPr="001E19CB">
        <w:rPr>
          <w:b/>
          <w:kern w:val="28"/>
        </w:rPr>
        <w:t>Термины и определения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187BF2" w:rsidRPr="001E19CB" w:rsidTr="00187BF2">
        <w:tc>
          <w:tcPr>
            <w:tcW w:w="2824" w:type="dxa"/>
            <w:shd w:val="clear" w:color="auto" w:fill="CCCCCC"/>
          </w:tcPr>
          <w:p w:rsidR="00187BF2" w:rsidRPr="001E19CB" w:rsidRDefault="00187BF2" w:rsidP="00187BF2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187BF2" w:rsidRPr="001E19CB" w:rsidRDefault="00187BF2" w:rsidP="00187BF2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10" w:name="_Toc297628860"/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10"/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187BF2" w:rsidRPr="001E19CB" w:rsidRDefault="00187BF2" w:rsidP="00187BF2">
      <w:pPr>
        <w:autoSpaceDE/>
        <w:autoSpaceDN/>
        <w:adjustRightInd/>
        <w:jc w:val="both"/>
        <w:outlineLvl w:val="1"/>
      </w:pP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1" w:name="_Toc232403464"/>
      <w:bookmarkEnd w:id="11"/>
      <w:r w:rsidRPr="001E19CB">
        <w:rPr>
          <w:b/>
          <w:kern w:val="28"/>
        </w:rPr>
        <w:t>Общие положения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</w:t>
      </w:r>
      <w:r w:rsidRPr="001E19CB">
        <w:lastRenderedPageBreak/>
        <w:t xml:space="preserve">Приложении №2.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 xml:space="preserve">При выявлении в Заявках очевидных ошибок, влияющих на существо Заявок </w:t>
      </w:r>
      <w:r w:rsidRPr="001E19CB">
        <w:lastRenderedPageBreak/>
        <w:t>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187BF2" w:rsidRPr="001E19CB" w:rsidRDefault="00187BF2" w:rsidP="00187BF2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>Финансово-экономическая экспертиза проводится на основании Методики проведения экспертизы финансово-экономической устойчивости участников закупочных процедур.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lastRenderedPageBreak/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187BF2" w:rsidRPr="001E19CB" w:rsidRDefault="00187BF2" w:rsidP="00187BF2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187BF2" w:rsidRPr="001E19CB" w:rsidRDefault="00187BF2" w:rsidP="00187BF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187BF2" w:rsidRPr="001E19CB" w:rsidRDefault="00187BF2" w:rsidP="00187BF2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187BF2" w:rsidRPr="001E19CB" w:rsidRDefault="00187BF2" w:rsidP="00187BF2">
      <w:pPr>
        <w:adjustRightInd/>
        <w:jc w:val="both"/>
      </w:pPr>
      <w:r w:rsidRPr="001E19CB">
        <w:lastRenderedPageBreak/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Несоответствие Предложения какому-либо отборочному критерию обязательно должно сопровождаться развернутым обоснованием, на основании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187BF2" w:rsidRPr="001E19CB" w:rsidRDefault="00187BF2" w:rsidP="00187BF2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187BF2" w:rsidRPr="001E19CB" w:rsidRDefault="00187BF2" w:rsidP="00187BF2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187BF2" w:rsidRPr="001E19CB" w:rsidRDefault="00187BF2" w:rsidP="00187BF2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 xml:space="preserve"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</w:t>
      </w:r>
      <w:r w:rsidRPr="001E19CB">
        <w:lastRenderedPageBreak/>
        <w:t>методом усреднения. Результатом является получение итоговой оценки предпочтительности рассматриваемой Заявки.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lastRenderedPageBreak/>
        <w:t>Приложение 1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lastRenderedPageBreak/>
        <w:t>Приложение № 2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lastRenderedPageBreak/>
        <w:t>Приложение №3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187BF2" w:rsidRPr="001E19CB" w:rsidTr="00187BF2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187BF2" w:rsidRPr="001E19CB" w:rsidTr="00187BF2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187BF2" w:rsidRPr="001E19CB" w:rsidRDefault="00187BF2" w:rsidP="00187BF2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lastRenderedPageBreak/>
        <w:t>Приложение №4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187BF2" w:rsidRPr="001E19CB" w:rsidTr="00187BF2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462447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lastRenderedPageBreak/>
        <w:t>Приложение № 5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187BF2" w:rsidRPr="001E19CB" w:rsidRDefault="00187BF2" w:rsidP="00187BF2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lastRenderedPageBreak/>
        <w:t>Приложение 6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187BF2" w:rsidRPr="001E19CB" w:rsidRDefault="00187BF2" w:rsidP="00187BF2">
      <w:pPr>
        <w:widowControl/>
        <w:autoSpaceDE/>
        <w:autoSpaceDN/>
        <w:adjustRightInd/>
        <w:jc w:val="both"/>
        <w:rPr>
          <w:snapToGrid w:val="0"/>
        </w:rPr>
      </w:pPr>
    </w:p>
    <w:p w:rsidR="00187BF2" w:rsidRPr="001E19CB" w:rsidRDefault="00187BF2" w:rsidP="00187BF2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lastRenderedPageBreak/>
        <w:t>Приложение 7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187BF2" w:rsidRPr="001E19CB" w:rsidTr="00187BF2">
        <w:trPr>
          <w:jc w:val="center"/>
        </w:trPr>
        <w:tc>
          <w:tcPr>
            <w:tcW w:w="3269" w:type="dxa"/>
            <w:vMerge w:val="restart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  <w:vMerge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187BF2" w:rsidRPr="001E19CB" w:rsidRDefault="00187BF2" w:rsidP="00187BF2">
      <w:pPr>
        <w:widowControl/>
        <w:tabs>
          <w:tab w:val="left" w:pos="708"/>
        </w:tabs>
        <w:adjustRightInd/>
        <w:jc w:val="both"/>
      </w:pPr>
    </w:p>
    <w:p w:rsidR="00187BF2" w:rsidRPr="00B32644" w:rsidRDefault="00187BF2" w:rsidP="00187BF2">
      <w:pPr>
        <w:spacing w:before="120" w:after="60"/>
        <w:ind w:firstLine="851"/>
        <w:rPr>
          <w:b/>
        </w:rPr>
      </w:pPr>
    </w:p>
    <w:p w:rsidR="00A87406" w:rsidRPr="00187BF2" w:rsidRDefault="00A87406" w:rsidP="00187BF2"/>
    <w:sectPr w:rsidR="00A87406" w:rsidRPr="00187BF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F" w:rsidRDefault="0041670F" w:rsidP="00384424">
      <w:r>
        <w:separator/>
      </w:r>
    </w:p>
  </w:endnote>
  <w:endnote w:type="continuationSeparator" w:id="0">
    <w:p w:rsidR="0041670F" w:rsidRDefault="0041670F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Default="00701814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-10688803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  <w:r w:rsidR="00221311">
          <w:rPr>
            <w:i/>
            <w:color w:val="365F91" w:themeColor="accent1" w:themeShade="BF"/>
          </w:rPr>
          <w:t xml:space="preserve"> поставку спецодежды для нужд ОАО «</w:t>
        </w:r>
        <w:proofErr w:type="spellStart"/>
        <w:r w:rsidR="00221311">
          <w:rPr>
            <w:i/>
            <w:color w:val="365F91" w:themeColor="accent1" w:themeShade="BF"/>
          </w:rPr>
          <w:t>Томскэнергосбыт</w:t>
        </w:r>
        <w:proofErr w:type="spellEnd"/>
        <w:r w:rsidR="00221311">
          <w:rPr>
            <w:i/>
            <w:color w:val="365F91" w:themeColor="accent1" w:themeShade="BF"/>
          </w:rPr>
          <w:t>»</w:t>
        </w:r>
      </w:sdtContent>
    </w:sdt>
  </w:p>
  <w:p w:rsidR="0041670F" w:rsidRPr="0028024A" w:rsidRDefault="0041670F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7D8F9C7F" wp14:editId="0973A2C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Pr="00187BF2" w:rsidRDefault="00701814" w:rsidP="00187BF2">
    <w:pPr>
      <w:pStyle w:val="a9"/>
      <w:jc w:val="both"/>
      <w:rPr>
        <w:i/>
        <w:color w:val="365F91" w:themeColor="accent1" w:themeShade="BF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21311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 поставку спецодежды для нужд ОАО «</w:t>
        </w:r>
        <w:proofErr w:type="spellStart"/>
        <w:r w:rsidR="00221311">
          <w:rPr>
            <w:i/>
            <w:color w:val="365F91" w:themeColor="accent1" w:themeShade="BF"/>
          </w:rPr>
          <w:t>Томскэнергосбыт</w:t>
        </w:r>
        <w:proofErr w:type="spellEnd"/>
        <w:r w:rsidR="00221311">
          <w:rPr>
            <w:i/>
            <w:color w:val="365F91" w:themeColor="accent1" w:themeShade="BF"/>
          </w:rPr>
          <w:t>»</w:t>
        </w:r>
      </w:sdtContent>
    </w:sdt>
    <w:r w:rsidR="0041670F" w:rsidRPr="00187BF2">
      <w:rPr>
        <w:i/>
        <w:noProof/>
        <w:color w:val="365F91" w:themeColor="accent1" w:themeShade="BF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ED779A1" wp14:editId="2B620EA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F" w:rsidRDefault="0041670F" w:rsidP="00384424">
      <w:r>
        <w:separator/>
      </w:r>
    </w:p>
  </w:footnote>
  <w:footnote w:type="continuationSeparator" w:id="0">
    <w:p w:rsidR="0041670F" w:rsidRDefault="0041670F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7381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311">
          <w:rPr>
            <w:noProof/>
          </w:rPr>
          <w:t>2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14">
          <w:rPr>
            <w:noProof/>
          </w:rPr>
          <w:t>14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44806"/>
    <w:rsid w:val="00052A39"/>
    <w:rsid w:val="000565C3"/>
    <w:rsid w:val="000F265F"/>
    <w:rsid w:val="00150590"/>
    <w:rsid w:val="00187BF2"/>
    <w:rsid w:val="001A606D"/>
    <w:rsid w:val="001D7F77"/>
    <w:rsid w:val="001E5F16"/>
    <w:rsid w:val="00221311"/>
    <w:rsid w:val="0028024A"/>
    <w:rsid w:val="002C097A"/>
    <w:rsid w:val="00355D9D"/>
    <w:rsid w:val="00357E1D"/>
    <w:rsid w:val="00384424"/>
    <w:rsid w:val="00390324"/>
    <w:rsid w:val="0041670F"/>
    <w:rsid w:val="004A046C"/>
    <w:rsid w:val="00531218"/>
    <w:rsid w:val="005B1066"/>
    <w:rsid w:val="005B63BF"/>
    <w:rsid w:val="005F0177"/>
    <w:rsid w:val="006320E9"/>
    <w:rsid w:val="006E27D5"/>
    <w:rsid w:val="00701814"/>
    <w:rsid w:val="008052B7"/>
    <w:rsid w:val="00905AE1"/>
    <w:rsid w:val="00916C3C"/>
    <w:rsid w:val="009F1B88"/>
    <w:rsid w:val="00A27E08"/>
    <w:rsid w:val="00A851E1"/>
    <w:rsid w:val="00A87406"/>
    <w:rsid w:val="00B32644"/>
    <w:rsid w:val="00B75AB2"/>
    <w:rsid w:val="00C30F4B"/>
    <w:rsid w:val="00CC0880"/>
    <w:rsid w:val="00D63D20"/>
    <w:rsid w:val="00D75803"/>
    <w:rsid w:val="00D84155"/>
    <w:rsid w:val="00DB566D"/>
    <w:rsid w:val="00E62BCB"/>
    <w:rsid w:val="00EB18F6"/>
    <w:rsid w:val="00EB63BB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 поставку спецодежды для нужд ОАО «Томскэнергосбыт»</dc:creator>
  <cp:keywords/>
  <dc:description/>
  <cp:lastModifiedBy>Анна Сергеевна Топонова</cp:lastModifiedBy>
  <cp:revision>20</cp:revision>
  <cp:lastPrinted>2014-07-14T03:27:00Z</cp:lastPrinted>
  <dcterms:created xsi:type="dcterms:W3CDTF">2012-02-17T05:32:00Z</dcterms:created>
  <dcterms:modified xsi:type="dcterms:W3CDTF">2014-07-14T03:27:00Z</dcterms:modified>
</cp:coreProperties>
</file>